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22D3C5"/>
          <w:sz w:val="20"/>
        </w:rPr>
        <w:t>AGENTICWORK  /  FDE FIELD KIT</w:t>
      </w:r>
    </w:p>
    <w:p>
      <w:pPr>
        <w:spacing w:after="80"/>
      </w:pPr>
      <w:r>
        <w:rPr>
          <w:b/>
          <w:color w:val="071522"/>
          <w:sz w:val="50"/>
        </w:rPr>
        <w:t>Enterprise Brief — Business Context</w:t>
      </w:r>
    </w:p>
    <w:p>
      <w:pPr>
        <w:spacing w:after="240"/>
      </w:pPr>
      <w:r>
        <w:rPr>
          <w:color w:val="64748B"/>
          <w:sz w:val="21"/>
        </w:rPr>
        <w:t>Etapa 01 · Understand the Enterprise · Módulo 01.1 · Understand the Business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9FB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22D3C5"/>
                <w:sz w:val="18"/>
              </w:rPr>
              <w:t>EXEMPLO PREENCHIDO · EMPRESA FICTÍCIA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  <w:color w:val="22D3C5"/>
          <w:sz w:val="22"/>
        </w:rPr>
        <w:t>A  IDENTIFICAÇÃO</w:t>
      </w:r>
    </w:p>
    <w:p>
      <w:pPr>
        <w:spacing w:after="120"/>
      </w:pPr>
      <w:r>
        <w:rPr>
          <w:color w:val="64748B"/>
          <w:sz w:val="17"/>
        </w:rPr>
        <w:t>Contexto mínimo para rastreabilidade do artefato.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Empresa / unidade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NexaPay Benefícios S.A.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Data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14/09/2026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Owner / sponsor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Equipe FDE / Sponsor de Operações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B  MOTOR ECONÔMICO</w:t>
      </w:r>
    </w:p>
    <w:p>
      <w:pPr>
        <w:spacing w:after="120"/>
      </w:pPr>
      <w:r>
        <w:rPr>
          <w:color w:val="64748B"/>
          <w:sz w:val="17"/>
        </w:rPr>
        <w:t>Consolide o entendimento econômico antes de discutir tecnologia.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Revenue Model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Receita B2B recorrente + fee por transação processada.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Revenue Streams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Mensalidade corporativa; fee transacional; serviços premium de gestão.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Cost Structure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Processamento, atendimento, cloud, prevenção a fraude e operação.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Unit Economics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Transação autorizada e cliente corporativo ativo.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KPIs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Receita por cliente; margem por transação; custo por atendimento; churn.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Value Drivers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Volume transacional, retenção, automação operacional e redução de perdas.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C  EVIDÊNCIAS</w:t>
      </w:r>
    </w:p>
    <w:p>
      <w:pPr>
        <w:spacing w:after="120"/>
      </w:pPr>
      <w:r>
        <w:rPr>
          <w:color w:val="64748B"/>
          <w:sz w:val="17"/>
        </w:rPr>
        <w:t>Diferencie fatos observados de opiniões ou hipóteses.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Fontes / evidências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Dashboard financeiro; entrevista com CFO; relatório de operações Q2.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D  HIPÓTESES PARA DISCOVERY</w:t>
      </w:r>
    </w:p>
    <w:p>
      <w:pPr>
        <w:spacing w:after="120"/>
      </w:pPr>
      <w:r>
        <w:rPr>
          <w:color w:val="64748B"/>
          <w:sz w:val="17"/>
        </w:rPr>
        <w:t>Transforme o contexto em perguntas de valor; ainda não escolha um agente, modelo ou arquitetura.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Hipótese inicial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Automatizar triagem de disputas pode reduzir custo operacional sem aumentar perdas.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Lacunas / unknowns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Custo atual por disputa; taxa de retrabalho; restrições regulatórias do fluxo.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E  CHECKPOINT FDE</w:t>
      </w:r>
    </w:p>
    <w:p>
      <w:pPr>
        <w:spacing w:after="120"/>
      </w:pPr>
      <w:r>
        <w:rPr>
          <w:color w:val="64748B"/>
          <w:sz w:val="17"/>
        </w:rPr>
        <w:t>Antes de avançar, valide o contexto com stakeholders e confirme que há evidência suficiente.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O modelo de receita está claro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Os principais streams e custos foram identificados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A unidade econômica e os KPIs estão definidos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Value drivers têm evidências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Hipóteses estão separadas de fatos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☒ Ainda não foi prescrita uma solução de IA</w:t>
            </w:r>
          </w:p>
        </w:tc>
      </w:tr>
    </w:tbl>
    <w:p>
      <w:pPr>
        <w:spacing w:before="200"/>
      </w:pPr>
      <w:r>
        <w:rPr>
          <w:b/>
          <w:color w:val="22D3C5"/>
          <w:sz w:val="18"/>
        </w:rPr>
        <w:t>Princípio FDE: não comece pela tecnologia. Comece pelo contexto.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715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