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color w:val="22D3C5"/>
          <w:sz w:val="20"/>
        </w:rPr>
        <w:t>AGENTICWORK  /  FDE FIELD KIT</w:t>
      </w:r>
    </w:p>
    <w:p>
      <w:pPr>
        <w:spacing w:after="80"/>
      </w:pPr>
      <w:r>
        <w:rPr>
          <w:b/>
          <w:color w:val="071522"/>
          <w:sz w:val="50"/>
        </w:rPr>
        <w:t>Enterprise Brief — Business Context</w:t>
      </w:r>
    </w:p>
    <w:p>
      <w:pPr>
        <w:spacing w:after="240"/>
      </w:pPr>
      <w:r>
        <w:rPr>
          <w:color w:val="64748B"/>
          <w:sz w:val="21"/>
        </w:rPr>
        <w:t>Etapa 01 · Understand the Enterprise · Módulo 01.1 · Understand the Business</w:t>
      </w:r>
    </w:p>
    <w:p>
      <w:pPr>
        <w:spacing w:before="160" w:after="60"/>
      </w:pPr>
      <w:r>
        <w:rPr>
          <w:b/>
          <w:color w:val="22D3C5"/>
          <w:sz w:val="22"/>
        </w:rPr>
        <w:t>A  IDENTIFICAÇÃO</w:t>
      </w:r>
    </w:p>
    <w:p>
      <w:pPr>
        <w:spacing w:after="120"/>
      </w:pPr>
      <w:r>
        <w:rPr>
          <w:color w:val="64748B"/>
          <w:sz w:val="17"/>
        </w:rPr>
        <w:t>Contexto mínimo para rastreabilidade do artefato.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592"/>
            <w:shd w:fill="F4F7FA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/>
                <w:color w:val="071522"/>
                <w:sz w:val="18"/>
              </w:rPr>
              <w:t>Empresa / unidade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 w:val="0"/>
                <w:color w:val="071522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592"/>
            <w:shd w:fill="F4F7FA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/>
                <w:color w:val="071522"/>
                <w:sz w:val="18"/>
              </w:rPr>
              <w:t>Data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 w:val="0"/>
                <w:color w:val="071522"/>
                <w:sz w:val="18"/>
              </w:rPr>
              <w:t>____ / ____ / ______</w:t>
            </w:r>
          </w:p>
        </w:tc>
      </w:tr>
      <w:tr>
        <w:tc>
          <w:tcPr>
            <w:tcW w:type="dxa" w:w="2592"/>
            <w:shd w:fill="F4F7FA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/>
                <w:color w:val="071522"/>
                <w:sz w:val="18"/>
              </w:rPr>
              <w:t>Owner / sponsor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 w:val="0"/>
                <w:color w:val="071522"/>
                <w:sz w:val="18"/>
              </w:rPr>
              <w:t>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160" w:after="60"/>
      </w:pPr>
      <w:r>
        <w:rPr>
          <w:b/>
          <w:color w:val="22D3C5"/>
          <w:sz w:val="22"/>
        </w:rPr>
        <w:t>B  MOTOR ECONÔMICO</w:t>
      </w:r>
    </w:p>
    <w:p>
      <w:pPr>
        <w:spacing w:after="120"/>
      </w:pPr>
      <w:r>
        <w:rPr>
          <w:color w:val="64748B"/>
          <w:sz w:val="17"/>
        </w:rPr>
        <w:t>Consolide o entendimento econômico antes de discutir tecnologia.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592"/>
            <w:shd w:fill="F4F7FA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/>
                <w:color w:val="071522"/>
                <w:sz w:val="18"/>
              </w:rPr>
              <w:t>Revenue Model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 w:val="0"/>
                <w:color w:val="071522"/>
                <w:sz w:val="18"/>
              </w:rPr>
              <w:t>Descreva como a empresa captura valor e quem paga.</w:t>
            </w:r>
          </w:p>
        </w:tc>
      </w:tr>
      <w:tr>
        <w:tc>
          <w:tcPr>
            <w:tcW w:type="dxa" w:w="2592"/>
            <w:shd w:fill="F4F7FA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/>
                <w:color w:val="071522"/>
                <w:sz w:val="18"/>
              </w:rPr>
              <w:t>Revenue Streams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 w:val="0"/>
                <w:color w:val="071522"/>
                <w:sz w:val="18"/>
              </w:rPr>
              <w:t>Liste as principais fontes de receita e sua relevância.</w:t>
            </w:r>
          </w:p>
        </w:tc>
      </w:tr>
      <w:tr>
        <w:tc>
          <w:tcPr>
            <w:tcW w:type="dxa" w:w="2592"/>
            <w:shd w:fill="F4F7FA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/>
                <w:color w:val="071522"/>
                <w:sz w:val="18"/>
              </w:rPr>
              <w:t>Cost Structure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 w:val="0"/>
                <w:color w:val="071522"/>
                <w:sz w:val="18"/>
              </w:rPr>
              <w:t>Liste os principais custos fixos/variáveis e pressões de eficiência.</w:t>
            </w:r>
          </w:p>
        </w:tc>
      </w:tr>
      <w:tr>
        <w:tc>
          <w:tcPr>
            <w:tcW w:type="dxa" w:w="2592"/>
            <w:shd w:fill="F4F7FA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/>
                <w:color w:val="071522"/>
                <w:sz w:val="18"/>
              </w:rPr>
              <w:t>Unit Economics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 w:val="0"/>
                <w:color w:val="071522"/>
                <w:sz w:val="18"/>
              </w:rPr>
              <w:t>Defina a unidade econômica relevante (cliente, transação, contrato etc.).</w:t>
            </w:r>
          </w:p>
        </w:tc>
      </w:tr>
      <w:tr>
        <w:tc>
          <w:tcPr>
            <w:tcW w:type="dxa" w:w="2592"/>
            <w:shd w:fill="F4F7FA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/>
                <w:color w:val="071522"/>
                <w:sz w:val="18"/>
              </w:rPr>
              <w:t>KPIs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 w:val="0"/>
                <w:color w:val="071522"/>
                <w:sz w:val="18"/>
              </w:rPr>
              <w:t>Registre KPIs financeiros e operacionais, baseline e owner quando disponíveis.</w:t>
            </w:r>
          </w:p>
        </w:tc>
      </w:tr>
      <w:tr>
        <w:tc>
          <w:tcPr>
            <w:tcW w:type="dxa" w:w="2592"/>
            <w:shd w:fill="F4F7FA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/>
                <w:color w:val="071522"/>
                <w:sz w:val="18"/>
              </w:rPr>
              <w:t>Value Drivers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 w:val="0"/>
                <w:color w:val="071522"/>
                <w:sz w:val="18"/>
              </w:rPr>
              <w:t>Liste fatores que aumentam ou destroem receita, margem, produtividade ou risco.</w:t>
            </w:r>
          </w:p>
        </w:tc>
      </w:tr>
    </w:tbl>
    <w:p>
      <w:pPr>
        <w:spacing w:after="20"/>
      </w:pPr>
    </w:p>
    <w:p>
      <w:pPr>
        <w:spacing w:before="160" w:after="60"/>
      </w:pPr>
      <w:r>
        <w:rPr>
          <w:b/>
          <w:color w:val="22D3C5"/>
          <w:sz w:val="22"/>
        </w:rPr>
        <w:t>C  EVIDÊNCIAS</w:t>
      </w:r>
    </w:p>
    <w:p>
      <w:pPr>
        <w:spacing w:after="120"/>
      </w:pPr>
      <w:r>
        <w:rPr>
          <w:color w:val="64748B"/>
          <w:sz w:val="17"/>
        </w:rPr>
        <w:t>Diferencie fatos observados de opiniões ou hipóteses.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592"/>
            <w:shd w:fill="F4F7FA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/>
                <w:color w:val="071522"/>
                <w:sz w:val="18"/>
              </w:rPr>
              <w:t>Fontes / evidências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 w:val="0"/>
                <w:color w:val="071522"/>
                <w:sz w:val="18"/>
              </w:rPr>
              <w:t>Registre fontes, dados, entrevistas e evidências que sustentam as conclusões.</w:t>
            </w:r>
          </w:p>
        </w:tc>
      </w:tr>
    </w:tbl>
    <w:p>
      <w:pPr>
        <w:spacing w:after="20"/>
      </w:pPr>
    </w:p>
    <w:p>
      <w:pPr>
        <w:spacing w:before="160" w:after="60"/>
      </w:pPr>
      <w:r>
        <w:rPr>
          <w:b/>
          <w:color w:val="22D3C5"/>
          <w:sz w:val="22"/>
        </w:rPr>
        <w:t>D  HIPÓTESES PARA DISCOVERY</w:t>
      </w:r>
    </w:p>
    <w:p>
      <w:pPr>
        <w:spacing w:after="120"/>
      </w:pPr>
      <w:r>
        <w:rPr>
          <w:color w:val="64748B"/>
          <w:sz w:val="17"/>
        </w:rPr>
        <w:t>Transforme o contexto em perguntas de valor; ainda não escolha um agente, modelo ou arquitetura.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592"/>
            <w:shd w:fill="F4F7FA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/>
                <w:color w:val="071522"/>
                <w:sz w:val="18"/>
              </w:rPr>
              <w:t>Hipótese inicial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 w:val="0"/>
                <w:color w:val="071522"/>
                <w:sz w:val="18"/>
              </w:rPr>
              <w:t>Registre hipóteses para discovery — sem definir ainda a solução.</w:t>
            </w:r>
          </w:p>
        </w:tc>
      </w:tr>
      <w:tr>
        <w:tc>
          <w:tcPr>
            <w:tcW w:type="dxa" w:w="2592"/>
            <w:shd w:fill="F4F7FA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/>
                <w:color w:val="071522"/>
                <w:sz w:val="18"/>
              </w:rPr>
              <w:t>Lacunas / unknowns</w:t>
            </w:r>
          </w:p>
        </w:tc>
        <w:tc>
          <w:tcPr>
            <w:tcW w:type="dxa" w:w="82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/>
            <w:r>
              <w:rPr>
                <w:b w:val="0"/>
                <w:color w:val="071522"/>
                <w:sz w:val="18"/>
              </w:rPr>
              <w:t>Liste lacunas de informação, riscos e perguntas ainda sem resposta.</w:t>
            </w:r>
          </w:p>
        </w:tc>
      </w:tr>
    </w:tbl>
    <w:p>
      <w:pPr>
        <w:spacing w:after="20"/>
      </w:pPr>
    </w:p>
    <w:p>
      <w:pPr>
        <w:spacing w:before="160" w:after="60"/>
      </w:pPr>
      <w:r>
        <w:rPr>
          <w:b/>
          <w:color w:val="22D3C5"/>
          <w:sz w:val="22"/>
        </w:rPr>
        <w:t>E  CHECKPOINT FDE</w:t>
      </w:r>
    </w:p>
    <w:p>
      <w:pPr>
        <w:spacing w:after="120"/>
      </w:pPr>
      <w:r>
        <w:rPr>
          <w:color w:val="64748B"/>
          <w:sz w:val="17"/>
        </w:rPr>
        <w:t>Antes de avançar, valide o contexto com stakeholders e confirme que há evidência suficiente.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FFFFF"/>
          </w:tcPr>
          <w:p>
            <w:r/>
            <w:r>
              <w:rPr>
                <w:b w:val="0"/>
                <w:color w:val="071522"/>
                <w:sz w:val="18"/>
              </w:rPr>
              <w:t>☐ O modelo de receita está claro</w:t>
            </w:r>
          </w:p>
        </w:tc>
      </w:tr>
      <w:tr>
        <w:tc>
          <w:tcPr>
            <w:tcW w:type="dxa" w:w="102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FFFFF"/>
          </w:tcPr>
          <w:p>
            <w:r/>
            <w:r>
              <w:rPr>
                <w:b w:val="0"/>
                <w:color w:val="071522"/>
                <w:sz w:val="18"/>
              </w:rPr>
              <w:t>☐ Os principais streams e custos foram identificados</w:t>
            </w:r>
          </w:p>
        </w:tc>
      </w:tr>
      <w:tr>
        <w:tc>
          <w:tcPr>
            <w:tcW w:type="dxa" w:w="102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FFFFF"/>
          </w:tcPr>
          <w:p>
            <w:r/>
            <w:r>
              <w:rPr>
                <w:b w:val="0"/>
                <w:color w:val="071522"/>
                <w:sz w:val="18"/>
              </w:rPr>
              <w:t>☐ A unidade econômica e os KPIs estão definidos</w:t>
            </w:r>
          </w:p>
        </w:tc>
      </w:tr>
      <w:tr>
        <w:tc>
          <w:tcPr>
            <w:tcW w:type="dxa" w:w="102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FFFFF"/>
          </w:tcPr>
          <w:p>
            <w:r/>
            <w:r>
              <w:rPr>
                <w:b w:val="0"/>
                <w:color w:val="071522"/>
                <w:sz w:val="18"/>
              </w:rPr>
              <w:t>☐ Value drivers têm evidências</w:t>
            </w:r>
          </w:p>
        </w:tc>
      </w:tr>
      <w:tr>
        <w:tc>
          <w:tcPr>
            <w:tcW w:type="dxa" w:w="102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FFFFF"/>
          </w:tcPr>
          <w:p>
            <w:r/>
            <w:r>
              <w:rPr>
                <w:b w:val="0"/>
                <w:color w:val="071522"/>
                <w:sz w:val="18"/>
              </w:rPr>
              <w:t>☐ Hipóteses estão separadas de fatos</w:t>
            </w:r>
          </w:p>
        </w:tc>
      </w:tr>
      <w:tr>
        <w:tc>
          <w:tcPr>
            <w:tcW w:type="dxa" w:w="102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FFFFF"/>
          </w:tcPr>
          <w:p>
            <w:r/>
            <w:r>
              <w:rPr>
                <w:b w:val="0"/>
                <w:color w:val="071522"/>
                <w:sz w:val="18"/>
              </w:rPr>
              <w:t>☐ Ainda não foi prescrita uma solução de IA</w:t>
            </w:r>
          </w:p>
        </w:tc>
      </w:tr>
    </w:tbl>
    <w:p>
      <w:pPr>
        <w:spacing w:before="200"/>
      </w:pPr>
      <w:r>
        <w:rPr>
          <w:b/>
          <w:color w:val="22D3C5"/>
          <w:sz w:val="18"/>
        </w:rPr>
        <w:t>Princípio FDE: não comece pela tecnologia. Comece pelo contexto.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7152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